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333-284365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12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February 13,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89,550,141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898,250 Warrants to Purchase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29,698,250 Shares of Common Stock Issuable Upon Exercise of Warrants</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supplement the section of the Prospectus titled “Recent Developments in Our Business”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Reduction in Force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Blaize Holdings, Inc. (the “Company”) implemented a restructuring plan approved by the Board of Directors (the “Board”) to reduce costs and improve operational efficiency, including a reduction in force affecting approximately 26% of the Company’s employees (the “Restructuring Plan”). The Company expects the Restructuring Plan to be substantially completed by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cash expenditures for the Restructuring Plan are estimated to be in the range of $1.1 million to $1.3 million, substantially all of which are related to employee severance and benefits costs. The Company expects to incur most of these pre-tax reduction in force expenses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save approximately $7.5 million to $8.4 million per year from the reduction in force and other efficiency measures, which the Company expects to reinvest into growth initiatives focused on more profitable areas of the Company’s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Nasdaq Bid-Price Deficiency Notice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28, 2026, Blaize Holdings, Inc. (the “Company”) received a letter (the “Notice”) from the Listing Qualifications Department of The Nasdaq Stock Market LLC (“Nasdaq”) notifying the Company that because the closing bid price for the Company’s common stock, par value $0.0001 per share (the “Common Stock”), was below $1.00 per share for the last 30 consecutive business days, the Company was not currently in compliance with the minimum closing bid price required for continued listing on the Nasdaq Global Market pursuant to Nasdaq Listing Rule 5450(a)(1) (the “Minimum Bid Price Requirement”). The Company’s Common Stock will continue to trade on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Global Market under the symbol “BZAI” at this time, subject to the Company’s compliance with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a period of 180 calendar days from September 25, 2026, or until March 29, 2027, to regain compliance with the Minimum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assess potential actions to regain compliance. While the Company plans to review all available options, the Company may not regain compliance with the Minimum Bid Price Requirement during the 180-day compliance period, secure a second 180-day period to regain compliance, or maintain compliance with the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Extension of Terms on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accounts receivable balance due from NeoTensr was $13.3 million, which was due on September 24, 2026. On September 30, 2026, NeoTensr paid $0.2 million toward this balance, and the Company has agreed to extend the terms of this receivable, which is now expected to be paid during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5, 2026, on a preliminary basis, Blaize Holdings, Inc. (the “Company”) expects to report revenue of approximately $0.5 million for the three months ended September 30, 2026. This revenue was earned during August 2026 and is related to the sale of the Company’s manufactured hardware products to one customer located in Poland.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revenue estimates for the third quarter of 2026 is based on currently available information and does not present all necessary information for an understanding of the Company’s expected results of operations for the period. The preliminary estimate has been prepared by and is the responsibility of management. The Company has not completed its closing procedures for the third quarter of 2026, and it is possible that items may be identified that require adjustments to the preliminary estimated result set forth above for the third quarter of 2026, and those changes could be material. Accordingly, undue reliance should not be placed on this preliminary estimate. Further, the Company’s preliminary estimated revenue for the third quarter of 2026 is not necessarily indicative of the results to be expected for the remainder of the year or any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United States (“U.S.”) Government Inquiry and Investigation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July and August 2026, the Company and certain of its employees and members of the Board received subpoenas and inquiries from the U.S. Department of Justice (the “DOJ”) requesting information relating to the Company’s business and agreements with certain counterparties. The Company has also received voluntary requests for information from the U.S. Securities and Exchange Commission (“SEC”) for information substantially similar to that sought by the DOJ. The Company is cooperating with the DOJ and SEC in responding to their requests for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The Company cannot predict the outcome of the investigations or whether they will have any impact on the Company’s business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Action Complaint Filed September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17, 2026, a class action complaint was filed against the Company, certain current and former officers and directors of the Company, and the underwriters of the Company's May 2026 public offering in the United States District Court for the Central District of California, captioned Alyahya v. Blaize Holdings, Inc., et al., Case No. 2:26-cv-10609. The complaint alleges, among other things, that the defendants made false and misleading statements or omissions regarding the Company's contracts with Starshine and NeoTensr. The complaint asserts causes of action under Sections 10(b) and 20(a) of the Exchange Act on behalf of a putative class of investors who purchased the Company's common stock between July 17, 2025 and August 13, 2026, inclusive, and causes of action under Sections 11, 12(a)(2), and 15 of the Securities Act on behalf of a putative class of investors who purchased the Company's common stock pursuant or traceable to the Company's May 2026 public offering. The complaint seeks an order certifying the class; awarding compensatory damages, rescission or rescissory damages, interest, costs, attorneys’ and expert fees; and granting other unspecified relief. The case is at a preliminary stage. The Company is in the process of evaluating the effects of the foregoing events and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Prospectus Supplement are forward-looking statements. In some cases, you can identify forward-looking statements because they contain words such as “anticipate,” “believe,” “intend,” “may,” “plan,” “should,” “will,” or the negative of these words or other similar terms or expressions. Forward-looking statements in this Prospectus Supplement include, but are not limited to, the timing and scope of the Restructuring Plan; the amount and timing of the charges associated with the Restructuring Plan; the expected amount of savings resulting from the Restructuring Plan and the Company’s expected use thereof; statements regarding the Company’s intent or ability to regain compliance with Nasdaq’s Minimum Bid Price Requirement, Nasdaq granting the Company any relief from delisting as necessary, and whether the Company can ultimately meet applicable Nasdaq requirements for any such relief; the Company’s preliminary estimated revenue for the three months ended September 30, 2026; the outcome of any ongoing negotiation of customer contracts; the Company’s ability to fulfill orders; the scope, duration, and outcome of the DOJ and SEC inquiries and their potential impact on the Company’s business and financial condition, and the outcome of any putative class action shareholder lawsuits. The forward-looking statements contained in this Prospectus Supplement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July 2, 2026 (as amended) and August 13, 2026, respectively. The forward-looking statements in this Prospectus Supplement are based upon information available to the Company as of the date of this Prospectus Supplement,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October 5, 2026, the closing prices for our Common Stock and Warrants on the Nasdaq Stock Market LLC were $0.44 per share of Common Stock and $0.05 per Warrant.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October 5,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2054</Words>
  <Characters>11339</Characters>
  <CharactersWithSpaces>13364</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