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Number 333-291847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Prospectus dated December 18, 2025)</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20288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762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Blaize Holdings, Inc.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 xml:space="preserve">18,750,000 Shares of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tLeast" w:line="142" w:before="240" w:after="283"/>
              <w:jc w:val="center"/>
              <w:rPr>
                <w:color w:val="000000"/>
              </w:rPr>
            </w:pPr>
            <w:r>
              <w:rPr>
                <w:color w:val="000000"/>
              </w:rPr>
              <w:t>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December 18,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supplement the section of the Prospectus titled “Recent Developments in Our Business” as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Reduction in Force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24, 2026, Blaize Holdings, Inc. (the “Company”) implemented a restructuring plan approved by the Board of Directors (the “Board”) to reduce costs and improve operational efficiency, including a reduction in force affecting approximately 26% of the Company’s employees (the “Restructuring Plan”). The Company expects the Restructuring Plan to be substantially completed by December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cash expenditures for the Restructuring Plan are estimated to be in the range of $1.1 million to $1.3 million, substantially all of which are related to employee severance and benefits costs. The Company expects to incur most of these pre-tax reduction in force expenses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save approximately $7.5 million to $8.4 million per year from the reduction in force and other efficiency measures, which the Company expects to reinvest into growth initiatives focused on more profitable areas of the Company’s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Nasdaq Bid-Price Deficiency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2026, Blaize Holdings, Inc. (the “Company”) received a letter (the “Notice”) from the Listing Qualifications Department of The Nasdaq Stock Market LLC (“Nasdaq”) notifying the Company that because the closing bid price for the Company’s common stock, par value $0.0001 per share (the “Common Stock”), was below $1.00 per share for the last 30 consecutive business days, the Company was not currently in compliance with the minimum closing bid price required for continued listing on the Nasdaq Global Market pursuant to Nasdaq Listing Rule 5450(a)(1) (the “Minimum Bid Price Requirement”). The Company’s Common Stock will continue to trade on The Nasdaq Global Market under the symbol “BZAI” at this time, subject to the Company’s compliance with other Nasdaq listing requirements.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Nasdaq Listing Rule 5810(c)(3)(A), the Company has a period of 180 calendar days from September 25, 2026, or until March 29, 2027, to regain compliance with the Minimum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Listing Rule 5810(c)(3)(H)), Nasdaq will provide the Company written confirmation of compliance, and the matter will be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assess potential actions to regain compliance. While the Company plans to review all available options, the Company may not regain compliance with the Minimum Bid Price Requirement during the 180-day compliance period, secure a second 180-day period to regain compliance, or maintain compliance with the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Extension of Terms on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second quarter of 2026, the Company’s accounts receivable balance due from NeoTensr was $13.3 million, which was due on September 24, 2026. On September 30, 2026, NeoTensr paid $0.2 million toward this balance, and the Company has agreed to extend the terms of this receivable, which is now expected to be paid during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Outlook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5, 2026, on a preliminary basis, Blaize Holdings, Inc. (the “Company”) expects to report revenue of approximately $0.5 million for the three months ended September 30, 2026. This revenue was earned during August 2026 and is related to the sale of the Company’s manufactured hardware products to one customer located in Poland.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revenue estimates for the third quarter of 2026 is based on currently available information and does not present all necessary information for an understanding of the Company’s expected results of operations for the period. The preliminary estimate has been prepared by and is the responsibility of management. The Company has not completed its closing procedures for the third quarter of 2026, and it is possible that items may be identified that require adjustments to the preliminary estimated result set forth above for the third quarter of 2026, and those changes could be material. Accordingly, undue reliance should not be placed on this preliminary estimate. Further, the Company’s preliminary estimated revenue for the third quarter of 2026 is not necessarily indicative of the results to be expected for the remainder of the year or any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United States (“U.S.”) Government Inquiry and Investigation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and August 2026, the Company and certain of its employees and members of the Board received subpoenas and inquiries from the U.S. Department of Justice (the “DOJ”) requesting information relating to the Company’s business and agreements with certain counterparties. The Company has also received voluntary requests for information from the U.S. Securities and Exchange Commission (“SEC”) for information substantially similar to that sought by the DOJ. The Company is cooperating with the DOJ and SEC in responding to their requests for information. The Company cannot predict the outcome of the investigations or whether they will have any impact on the Company’s business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 Action Complaint Filed September 17, 2026</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17, 2026, a class action complaint was filed against the Company, certain current and former officers and directors of the Company, and the underwriters of the Company's May 2026 public offering in the United States District Court for the Central District of California, captioned Alyahya v. Blaize Holdings, Inc., et al., Case No. 2:26-cv-10609. The complaint alleges, among other things, that the defendants made false and misleading statements or omissions regarding the Company's contracts with Starshine and NeoTensr. The complaint asserts causes of action under Sections 10(b) and 20(a) of the Exchange Act on behalf of a putative class of investors who purchased the Company's common stock between July 17, 2025 and August 13, 2026, inclusive, and causes of action under Sections 11, 12(a)(2), and 15 of the Securities Act on behalf of a putative class of investors who purchased the Company's common stock pursuant or traceable to the Company's May 2026 public offering. The complaint seeks an order certifying the class; awarding compensatory damages, rescission or rescissory damages, interest, costs, attorneys’ and expert fees; and granting other unspecified relief. The case is at a preliminary stage. The Company is in the process of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evaluating the effects of the foregoing events and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Prospectus Supplement are forward-looking statements. In some cases, you can identify forward-looking statements because they contain words such as “anticipate,” “believe,” “intend,” “may,” “plan,” “should,” “will,” or the negative of these words or other similar terms or expressions. Forward-looking statements in this Prospectus Supplement include, but are not limited to, the timing and scope of the Restructuring Plan; the amount and timing of the charges associated with the Restructuring Plan; the expected amount of savings resulting from the Restructuring Plan and the Company’s expected use thereof; statements regarding the Company’s intent or ability to regain compliance with Nasdaq’s Minimum Bid Price Requirement, Nasdaq granting the Company any relief from delisting as necessary, and whether the Company can ultimately meet applicable Nasdaq requirements for any such relief; the Company’s preliminary estimated revenue for the three months ended September 30, 2026; the outcome of any ongoing negotiation of customer contracts; the Company’s ability to fulfill orders; the scope, duration, and outcome of the DOJ and SEC inquiries and their potential impact on the Company’s business and financial condition, and the outcome of any putative class action shareholder lawsuits. The forward-looking statements contained in this Prospectus Supplement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and the risk factors described under the heading “Risk Factors” in the Company’s quarterly reports on Form 10-Q for the quarters ended March 31, 2026 and June 30, 2026 filed with the SEC on July 2, 2026 (as amended) and August 13, 2026, respectively. The forward-looking statements in this Prospectus Supplement are based upon information available to the Company as of the date of this Prospectus Supplement,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October 5, 2026, the closing prices for our Common Stock and Warrants on the Nasdaq Stock Market LLC were $0.44 per share of Common Stock and $0.05 per Warrant.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8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The date of this prospectus supplement is October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2037</Words>
  <Characters>11248</Characters>
  <CharactersWithSpaces>13255</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