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6"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pPr>
      <w:r>
        <w:rPr>
          <w:rFonts w:ascii="Times New Roman;serif" w:hAnsi="Times New Roman;serif"/>
          <w:b/>
          <w:color w:val="000000"/>
          <w:sz w:val="36"/>
        </w:rPr>
        <w:t>UNITED STATES</w:t>
        <w:br/>
        <w:t>SECURITIES AND EXCHANGE COMMISSION</w:t>
        <w:br/>
      </w: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September 28,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00" w:after="283"/>
              <w:jc w:val="left"/>
              <w:rPr/>
            </w:pPr>
            <w:r>
              <w:rPr/>
            </w:r>
          </w:p>
        </w:tc>
      </w:tr>
    </w:tbl>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Blaize Holdings, Inc.</w:t>
      </w:r>
    </w:p>
    <w:p>
      <w:pPr>
        <w:pStyle w:val="TextBody"/>
        <w:bidi w:val="0"/>
        <w:spacing w:lineRule="auto" w:line="288"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0" w:after="283"/>
              <w:jc w:val="left"/>
              <w:rPr/>
            </w:pPr>
            <w:r>
              <w:rPr/>
            </w:r>
          </w:p>
        </w:tc>
      </w:tr>
    </w:tbl>
    <w:p>
      <w:pPr>
        <w:pStyle w:val="TextBody"/>
        <w:bidi w:val="0"/>
        <w:spacing w:before="0" w:after="0"/>
        <w:jc w:val="left"/>
        <w:rPr/>
      </w:pPr>
      <w:r>
        <w:rPr/>
      </w:r>
    </w:p>
    <w:tbl>
      <w:tblPr>
        <w:tblW w:w="5858" w:type="dxa"/>
        <w:jc w:val="left"/>
        <w:tblInd w:w="0" w:type="dxa"/>
        <w:tblLayout w:type="fixed"/>
        <w:tblCellMar>
          <w:top w:w="28" w:type="dxa"/>
          <w:left w:w="28" w:type="dxa"/>
          <w:bottom w:w="28" w:type="dxa"/>
          <w:right w:w="28" w:type="dxa"/>
        </w:tblCellMar>
      </w:tblPr>
      <w:tblGrid>
        <w:gridCol w:w="334"/>
        <w:gridCol w:w="291"/>
        <w:gridCol w:w="291"/>
        <w:gridCol w:w="291"/>
        <w:gridCol w:w="291"/>
        <w:gridCol w:w="291"/>
        <w:gridCol w:w="291"/>
        <w:gridCol w:w="291"/>
        <w:gridCol w:w="307"/>
        <w:gridCol w:w="614"/>
        <w:gridCol w:w="614"/>
        <w:gridCol w:w="617"/>
        <w:gridCol w:w="390"/>
        <w:gridCol w:w="390"/>
        <w:gridCol w:w="555"/>
      </w:tblGrid>
      <w:tr>
        <w:trPr/>
        <w:tc>
          <w:tcPr>
            <w:tcW w:w="3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001-41139</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2890 Zanker Road, Suite 107</w:t>
            </w:r>
          </w:p>
        </w:tc>
        <w:tc>
          <w:tcPr>
            <w:tcW w:w="3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Jose,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95134</w:t>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before="0" w:after="0"/>
        <w:jc w:val="left"/>
        <w:rPr/>
      </w:pPr>
      <w:r>
        <w:rPr/>
      </w:r>
    </w:p>
    <w:tbl>
      <w:tblPr>
        <w:tblW w:w="6075" w:type="dxa"/>
        <w:jc w:val="left"/>
        <w:tblInd w:w="0" w:type="dxa"/>
        <w:tblLayout w:type="fixed"/>
        <w:tblCellMar>
          <w:top w:w="28" w:type="dxa"/>
          <w:left w:w="28" w:type="dxa"/>
          <w:bottom w:w="28" w:type="dxa"/>
          <w:right w:w="28" w:type="dxa"/>
        </w:tblCellMar>
      </w:tblPr>
      <w:tblGrid>
        <w:gridCol w:w="1946"/>
        <w:gridCol w:w="1711"/>
        <w:gridCol w:w="2418"/>
      </w:tblGrid>
      <w:tr>
        <w:trPr/>
        <w:tc>
          <w:tcPr>
            <w:tcW w:w="19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(916) 347-0050</w:t>
            </w:r>
          </w:p>
        </w:tc>
      </w:tr>
    </w:tbl>
    <w:p>
      <w:pPr>
        <w:pStyle w:val="TextBody"/>
        <w:bidi w:val="0"/>
        <w:spacing w:before="0" w:after="0"/>
        <w:jc w:val="left"/>
        <w:rPr/>
      </w:pPr>
      <w:r>
        <w:rPr/>
      </w:r>
    </w:p>
    <w:tbl>
      <w:tblPr>
        <w:tblW w:w="1319" w:type="dxa"/>
        <w:jc w:val="left"/>
        <w:tblInd w:w="0" w:type="dxa"/>
        <w:tblLayout w:type="fixed"/>
        <w:tblCellMar>
          <w:top w:w="28" w:type="dxa"/>
          <w:left w:w="28" w:type="dxa"/>
          <w:bottom w:w="28" w:type="dxa"/>
          <w:right w:w="28" w:type="dxa"/>
        </w:tblCellMar>
      </w:tblPr>
      <w:tblGrid>
        <w:gridCol w:w="422"/>
        <w:gridCol w:w="371"/>
        <w:gridCol w:w="526"/>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r>
    </w:tbl>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7" w:after="283"/>
              <w:jc w:val="left"/>
              <w:rPr/>
            </w:pPr>
            <w:r>
              <w:rPr/>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49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80" w:after="8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277"/>
        <w:gridCol w:w="1824"/>
        <w:gridCol w:w="1845"/>
        <w:gridCol w:w="109"/>
        <w:gridCol w:w="109"/>
        <w:gridCol w:w="109"/>
        <w:gridCol w:w="296"/>
        <w:gridCol w:w="296"/>
        <w:gridCol w:w="298"/>
        <w:gridCol w:w="109"/>
        <w:gridCol w:w="109"/>
        <w:gridCol w:w="109"/>
        <w:gridCol w:w="792"/>
        <w:gridCol w:w="792"/>
        <w:gridCol w:w="1131"/>
      </w:tblGrid>
      <w:tr>
        <w:trPr/>
        <w:tc>
          <w:tcPr>
            <w:tcW w:w="2277"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Name of each exchange on which registered</w:t>
            </w:r>
          </w:p>
        </w:tc>
      </w:tr>
      <w:tr>
        <w:trPr/>
        <w:tc>
          <w:tcPr>
            <w:tcW w:w="59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color w:val="000000"/>
                <w:sz w:val="2"/>
              </w:rPr>
            </w:pPr>
            <w:r>
              <w:rPr>
                <w:rFonts w:ascii="Times New Roman;serif" w:hAnsi="Times New Roman;serif"/>
                <w:b w:val="false"/>
                <w:color w:val="000000"/>
                <w:sz w:val="2"/>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28, 2026, Blaize Holdings, Inc. (the “Company”) received a letter (the “Notice”) from the Listing Qualifications Department of The Nasdaq Stock Market LLC (“Nasdaq”) notifying the Company that because the closing bid price for the Company’s common stock, par value $0.0001 per share (the “Common Stock”), was below $1.00 per share for the last 30 consecutive business days, the Company was not currently in compliance with the minimum closing bid price required for continued listing on the Nasdaq Global Market pursuant to Nasdaq Listing Rule 5450(a)(1) (the “Minimum Bid Price Requirement”). The Company’s Common Stock will continue to trade on The Nasdaq Global Market under the symbol “BZAI” at this time, subject to the Company’s compliance with other Nasdaq listing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Nasdaq Listing Rule 5810(c)(3)(A), the Company has a period of 180 calendar days from September 25, 2026, or until March 29, 2027, to regain compliance with the Minimum Bid Price Requirement. If at any time during the 180-calendar day grace period, the closing bid price of the Company’s Common Stock is at least $1.00 per share for a minimum of ten consecutive business days (unless the Nasdaq staff exercises its discretion to extend this ten business day period pursuant to Nasdaq Listing Rule 5810(c)(3)(H)), Nasdaq will provide the Company written confirmation of compliance, and the matter will be closed.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during the compliance period, the Company may be provided a second 180 calendar day period to regain compliance if it applies to transfer the listing of the Company’s Common Stock to the Nasdaq Capital Market. To qualify, the Company must meet the continued listing requirement for market value of publicly-held shares and all other initial listing standards for the Nasdaq Capital Market (with the exception of the Minimum Bid Price Requirement), based on the Company’s most recent public filings and market information and notify Nasdaq of its intent to cure the deficiency. If the Company does not regain compliance within the allotted compliance periods, including any extensions that may be granted by Nasdaq, the Company’s stock will be subject to delisting.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intends to monitor the closing bid price of its Common Stock and assess potential actions to regain compliance. While the Company plans to review all available options, the Company may not regain compliance with the Minimum Bid Price Requirement during the 180-day compliance period, secure a second 180-day period to regain compliance, or maintain compliance with the other Nasdaq listing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(this “Current Report”) contains forward-looking statements within the meaning of Section 27A of the Securities Act of 1933, as amended, and Section 21E of the Securities Exchange Act of 1934, as amended, about the Company that involve substantial risks and uncertainties. All statements other than statements of historical facts contained in this Current Report on Form 8-K are forward-looking statements. In some cases, you can identify forward-looking statements because they contain words such as “anticipate,” “believe,” “intend,” “may,” “plan,” “should,” “will,” or the negative of these words or other similar terms or expressions. Forward-looking statements in this Current Report on Form 8-K include, but are not limited to, statements regarding the Company’s intent or ability to regain compliance with Nasdaq’s Minimum Bid Price Requirement, Nasdaq granting the Company any relief from delisting as necessary, and whether the Company can ultimately meet applicable Nasdaq requirements for any such relief. The forward-looking statements contained in this Current Report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(“SEC”), including the risk factors described under the heading “Risk Factors” in the Company’s annual report on Form 10-K for the year ended December 31, 2025 filed with the SEC on March 24, 2026, and amended by Amendment No. 1 on Form 10-K/A filed with the SEC on April 30, 2026. The forward-looking statements in this Current Report are based upon information available to the Company as of the date of this Current Report,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8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50"/>
        <w:gridCol w:w="1950"/>
        <w:gridCol w:w="277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704" w:type="dxa"/>
        <w:jc w:val="left"/>
        <w:tblInd w:w="0" w:type="dxa"/>
        <w:tblLayout w:type="fixed"/>
        <w:tblCellMar>
          <w:top w:w="28" w:type="dxa"/>
          <w:left w:w="28" w:type="dxa"/>
          <w:bottom w:w="28" w:type="dxa"/>
          <w:right w:w="28" w:type="dxa"/>
        </w:tblCellMar>
      </w:tblPr>
      <w:tblGrid>
        <w:gridCol w:w="689"/>
        <w:gridCol w:w="606"/>
        <w:gridCol w:w="610"/>
        <w:gridCol w:w="109"/>
        <w:gridCol w:w="109"/>
        <w:gridCol w:w="109"/>
        <w:gridCol w:w="109"/>
        <w:gridCol w:w="109"/>
        <w:gridCol w:w="109"/>
        <w:gridCol w:w="627"/>
        <w:gridCol w:w="627"/>
        <w:gridCol w:w="891"/>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Harminder Sehmi</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1243</Words>
  <Characters>6868</Characters>
  <CharactersWithSpaces>8063</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