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rPr/>
      </w:pPr>
      <w:r>
        <w:rPr>
          <w:rFonts w:ascii="Times New Roman;serif" w:hAnsi="Times New Roman;serif"/>
          <w:b/>
          <w:color w:val="000000"/>
          <w:sz w:val="22"/>
        </w:rPr>
        <w:t>Date of Report (Date of earliest event reported):</w:t>
      </w:r>
      <w:r>
        <w:rPr>
          <w:color w:val="EE2724"/>
        </w:rPr>
        <w:t xml:space="preserve"> </w:t>
      </w:r>
      <w:r>
        <w:rPr>
          <w:rFonts w:ascii="Times New Roman;serif" w:hAnsi="Times New Roman;serif"/>
          <w:b/>
          <w:color w:val="000000"/>
          <w:sz w:val="22"/>
        </w:rPr>
        <w:t>October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00" w:after="283"/>
              <w:jc w:val="left"/>
              <w:rPr/>
            </w:pPr>
            <w:r>
              <w:rPr/>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Blaize Holdings, Inc.</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0" w:after="283"/>
              <w:jc w:val="left"/>
              <w:rPr/>
            </w:pPr>
            <w:r>
              <w:rPr/>
            </w:r>
          </w:p>
        </w:tc>
      </w:tr>
    </w:tbl>
    <w:p>
      <w:pPr>
        <w:pStyle w:val="TextBody"/>
        <w:bidi w:val="0"/>
        <w:spacing w:before="0" w:after="0"/>
        <w:jc w:val="left"/>
        <w:rPr/>
      </w:pPr>
      <w:r>
        <w:rPr/>
      </w:r>
    </w:p>
    <w:tbl>
      <w:tblPr>
        <w:tblW w:w="5858" w:type="dxa"/>
        <w:jc w:val="left"/>
        <w:tblInd w:w="0" w:type="dxa"/>
        <w:tblLayout w:type="fixed"/>
        <w:tblCellMar>
          <w:top w:w="28" w:type="dxa"/>
          <w:left w:w="28" w:type="dxa"/>
          <w:bottom w:w="28" w:type="dxa"/>
          <w:right w:w="28" w:type="dxa"/>
        </w:tblCellMar>
      </w:tblPr>
      <w:tblGrid>
        <w:gridCol w:w="334"/>
        <w:gridCol w:w="291"/>
        <w:gridCol w:w="291"/>
        <w:gridCol w:w="291"/>
        <w:gridCol w:w="291"/>
        <w:gridCol w:w="291"/>
        <w:gridCol w:w="291"/>
        <w:gridCol w:w="291"/>
        <w:gridCol w:w="307"/>
        <w:gridCol w:w="614"/>
        <w:gridCol w:w="614"/>
        <w:gridCol w:w="617"/>
        <w:gridCol w:w="390"/>
        <w:gridCol w:w="390"/>
        <w:gridCol w:w="555"/>
      </w:tblGrid>
      <w:tr>
        <w:trPr/>
        <w:tc>
          <w:tcPr>
            <w:tcW w:w="3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001-41139</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2890 Zanker Road, Suite 107</w:t>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95134</w:t>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left"/>
        <w:rPr/>
      </w:pPr>
      <w:r>
        <w:rPr/>
      </w:r>
    </w:p>
    <w:tbl>
      <w:tblPr>
        <w:tblW w:w="6075" w:type="dxa"/>
        <w:jc w:val="left"/>
        <w:tblInd w:w="0" w:type="dxa"/>
        <w:tblLayout w:type="fixed"/>
        <w:tblCellMar>
          <w:top w:w="28" w:type="dxa"/>
          <w:left w:w="28" w:type="dxa"/>
          <w:bottom w:w="28" w:type="dxa"/>
          <w:right w:w="28" w:type="dxa"/>
        </w:tblCellMar>
      </w:tblPr>
      <w:tblGrid>
        <w:gridCol w:w="1946"/>
        <w:gridCol w:w="1711"/>
        <w:gridCol w:w="2418"/>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(916) 347-0050</w:t>
            </w:r>
          </w:p>
        </w:tc>
      </w:tr>
    </w:tbl>
    <w:p>
      <w:pPr>
        <w:pStyle w:val="TextBody"/>
        <w:bidi w:val="0"/>
        <w:spacing w:before="0" w:after="0"/>
        <w:jc w:val="left"/>
        <w:rPr/>
      </w:pPr>
      <w:r>
        <w:rPr/>
      </w:r>
    </w:p>
    <w:tbl>
      <w:tblPr>
        <w:tblW w:w="1319" w:type="dxa"/>
        <w:jc w:val="left"/>
        <w:tblInd w:w="0" w:type="dxa"/>
        <w:tblLayout w:type="fixed"/>
        <w:tblCellMar>
          <w:top w:w="28" w:type="dxa"/>
          <w:left w:w="28" w:type="dxa"/>
          <w:bottom w:w="28" w:type="dxa"/>
          <w:right w:w="28" w:type="dxa"/>
        </w:tblCellMar>
      </w:tblPr>
      <w:tblGrid>
        <w:gridCol w:w="422"/>
        <w:gridCol w:w="371"/>
        <w:gridCol w:w="526"/>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7" w:after="283"/>
              <w:jc w:val="left"/>
              <w:rPr/>
            </w:pPr>
            <w:r>
              <w:rPr/>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49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80" w:after="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77"/>
        <w:gridCol w:w="1824"/>
        <w:gridCol w:w="1845"/>
        <w:gridCol w:w="109"/>
        <w:gridCol w:w="109"/>
        <w:gridCol w:w="109"/>
        <w:gridCol w:w="296"/>
        <w:gridCol w:w="296"/>
        <w:gridCol w:w="298"/>
        <w:gridCol w:w="109"/>
        <w:gridCol w:w="109"/>
        <w:gridCol w:w="109"/>
        <w:gridCol w:w="792"/>
        <w:gridCol w:w="792"/>
        <w:gridCol w:w="1131"/>
      </w:tblGrid>
      <w:tr>
        <w:trPr/>
        <w:tc>
          <w:tcPr>
            <w:tcW w:w="227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59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color w:val="000000"/>
                <w:sz w:val="2"/>
              </w:rPr>
            </w:pPr>
            <w:r>
              <w:rPr>
                <w:rFonts w:ascii="Times New Roman;serif" w:hAnsi="Times New Roman;serif"/>
                <w:b w:val="false"/>
                <w:color w:val="000000"/>
                <w:sz w:val="2"/>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Outlook for the Third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5, 2026, on a preliminary basis, Blaize Holdings, Inc. (the “Company”) expects to report revenue of approximately $0.5 million for the three months ended September 30, 2026. This revenue was earned during August 2026 and is related to the sale of the Company’s manufactured hardware products to one customer located in Europe.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preliminary revenue estimates for the third quarter of 2026 is based on currently available information and does not present all necessary information for an understanding of the Company’s expected results of operations for the period. The preliminary estimate has been prepared by and is the responsibility of management. The Company has not completed its closing procedures for the third quarter of 2026, and it is possible that items may be identified that require adjustments to the preliminary estimated result set forth above for the third quarter of 2026, and those changes could be material. Accordingly, undue reliance should not be placed on this preliminary estimate. Further, the Company’s preliminary estimated revenue for the third quarter of 2026 is not necessarily indicative of the results to be expected for the remainder of the year or any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Full Year 2026 Revenue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the foregoing and as noted below, the Company is revising its full-year revenue guidance for 2026 to be between $32.0 million and $36.0 million. The revised guidance is based on binding, non-cancellable purchase orders from NeoTensr and a new purchase order from an existing customer in process of signature. The product shipments to NeoTensr this quarter relate to the contract announced by the Company in April 2026 for up to $50.0 million. The revision reflects the Company’s updated expectations regarding shipment timing and management of working capital to meet inventory purchase needs. The Company has sufficient inventory on hand to partially fulfill the orders in the fourth quarter and is working with suppliers to obtain the balance before the year end. Any increased costs that are able to be passed through to customers or new customer commitments received during the fourth quarter that can be fulfilled through inventory on hand or software service agreements and recognized in the quarter would be additive to the Company’s revenue expectations. Should there be delays in timing or in receiving payments from customers scheduled during the fourth quarter, the Company’s revenue recognition for the year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Extension of Terms on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second quarter of 2026, the Company’s accounts receivable balance due from NeoTensr was $13.3 million, which was due on September 24, 2026. On September 30, 2026, NeoTensr paid $0.2 million toward this balance, and the Company has agreed to extend the terms of this receivable, which is now expected to be paid during the fourth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Outlook for the Third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under Item 2.02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United States (“U.S.”) Government Inquiry and Investigation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and August 2026, the Company and certain of its employees and members of the Board received subpoenas and inquiries from the U.S. Department of Justice (the “DOJ”) requesting information relating to the Company’s business and agreements with certain counterparties. The Company has also received voluntary requests for information from the U.S. Securities and Exchange Commission (“SEC”) for information substantially similar to that sought by the DOJ. The Company is cooperating with the DOJ and SEC in responding to their requests for information. The Company cannot predict the outcome of the investigations or whether they will have any impact on the Company’s business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Class Action Complaint Filed September 17,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17, 2026, a class action complaint was filed against the Company, certain current and former officers and directors of the Company, and the underwriters of the Company's May 2026 public offering in the United States District Court for the Central District of California, captioned Alyahya v. Blaize Holdings, Inc., et al., Case No. 2:26-cv-10609. The complaint alleges, among other things, that the defendants made false and misleading statements or omissions regarding the Company's contracts with Starshine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NeoTensr. The complaint asserts causes of action under Sections 10(b) and 20(a) of the Exchange Act on behalf of a putative class of investors who purchased the Company's common stock between July 17, 2025 and August 13, 2026, inclusive, and causes of action under Sections 11, 12(a)(2), and 15 of the Securities Act on behalf of a putative class of investors who purchased the Company's common stock pursuant or traceable to the Company's May 2026 public offering. The complaint seeks an order certifying the class; awarding compensatory damages, rescission or rescissory damages, interest, costs, attorneys’ and expert fees; and granting other unspecified relief. The case is at a preliminary stage. The Company is in the process of evaluating the effects of the foregoing events and cannot make a reasonable estimate of any outcome, recovery, or loss at this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include, but are not limited to, the Company’s preliminary estimated revenue for the three months ended September 30, 2026; the Company’s guidance and expectations for the fourth quarter of 2026; the outcome of any ongoing negotiation of customer contracts; the Company’s ability to manage and/or raise sufficient capital to complete inventory purchases and fulfill orders; the scope, duration, and outcome of the DOJ and SEC inquiries and their potential impact on the Company’s business and financial condition, and the outcome of any putative class action shareholder lawsuits. The forward-looking statements contained in this Current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2025 filed with the SEC on March 24, 2026, and amended by Amendment No. 1 on Form 10-K/A filed with the SEC on April 30, 2026 and the risk factors described under the heading “Risk Factors” in the Company’s quarterly reports on Form 10-Q for the quarters ended March 31, 2026 and June 30, 2026 filed with the SEC on May 14, 2026 and August 13, 2026, respectively. The forward-looking statements in this Current Report are based upon information available to the Company as of the date of this Current Report,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Items 2.02 and 7.01 is being furnished and shall not be deemed “filed” for purposes of Section 18 of the Securities Exchange Act of 1934, as amended (the “Exchange Act”), or otherwise subject to the liabilities of that Section. The information in Items 2.02 and 7.01 shall not be incorporated by reference into any registration statement or other document pursuant to the Securities Act of 1933, as amended, or the Exchange Act, unless it is specifically incorporated by reference therein.</w:t>
      </w:r>
    </w:p>
    <w:p>
      <w:pPr>
        <w:pStyle w:val="TextBody"/>
        <w:bidi w:val="0"/>
        <w:spacing w:before="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8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9"/>
        <w:gridCol w:w="1949"/>
        <w:gridCol w:w="277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1052026revenueannoun.htm">
              <w:r>
                <w:rPr>
                  <w:rStyle w:val="InternetLink"/>
                  <w:rFonts w:ascii="Times New Roman;serif" w:hAnsi="Times New Roman;serif"/>
                  <w:b w:val="false"/>
                  <w:color w:val="000000"/>
                  <w:sz w:val="20"/>
                  <w:u w:val="single"/>
                </w:rPr>
                <w:t>Press release, dated October 5,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704"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109"/>
        <w:gridCol w:w="109"/>
        <w:gridCol w:w="109"/>
        <w:gridCol w:w="627"/>
        <w:gridCol w:w="627"/>
        <w:gridCol w:w="891"/>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Harminder Sehmi</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914400" cy="457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14400" cy="4572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Blaize Provides Preliminary Third Quarter 2026 Revenue Update and Full-Year Guidance Update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4"/>
        </w:rPr>
        <w:t>SAN JOSE, Calif. – October 5, 2026 - Blaize Holdings, Inc. (Nasdaq: BZAI; BZAIW) (“Blaize” or the “Company”)</w:t>
      </w:r>
      <w:r>
        <w:rPr>
          <w:rFonts w:ascii="Times New Roman;serif" w:hAnsi="Times New Roman;serif"/>
          <w:b w:val="false"/>
          <w:color w:val="000000"/>
          <w:sz w:val="24"/>
        </w:rPr>
        <w:t>, a leader in programmable, energy-efficient AI computing, today announced its preliminary third quarter 2026 revenue. The Company also provided an update regarding its previously issued full-year 2026 revenue guidance. These matters are further described in a Current Report on Form 8-K filed today with the U.S.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 xml:space="preserve">Preliminary Third Quarter 2026 Revenue and Full Year Outlook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expects to report preliminary revenue of approximately $0.5 million for the third quarter ending September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preliminary third-quarter revenue estimate is based on currently available information and remains subject to completion of the Company’s quarter-end closing procedures. Actual results could differ materially from this preliminary estimate.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Given the foregoing and as noted below, the Company is revising its full-year revenue guidance for 2026 to be between $32.0 million and $36.0 million. The revised guidance is based on binding, non-cancellable purchase orders from NeoTensr and a new purchase order from an existing customer in process of signature. The product shipments to NeoTensr this quarter relate to the contract announced by the Company in April 2026 for up to $50.0 million. The revision reflects the Company’s updated expectations regarding shipment timing and management of working capital to meet inventory purchase needs. The Company has sufficient inventory on hand to partially fulfill the orders in the fourth quarter and is working with suppliers to obtain the balance before the year end. Any increased costs that are able to be passed through to customers or new customer commitments received during the fourth quarter that can be fulfilled through inventory on hand or software service agreements and recognized in the quarter would be additive to the Company’s revenue expectations. Should there be delays in timing or in receiving payments from customers scheduled during the fourth quarter, the Company’s revenue recognition for the year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About Blaize</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Blaize delivers a programmable AI platform, purpose-built for AI inference workloads in real-world environments. Its Hybrid AI architecture combines the Blaize GSP (Graph Streaming Processor) with GPU-based infrastructure, enabling AI inference workloads to run across edge, cloud, and data center. Blaize solutions support computer vision, multimodal AI, and sensor-</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driven applications across smart cities, industrial automation, telecommunications, retail, logistics, and mission-critical operations. Blaize is headquartered in San Jose, California, with a presence across North America, Europe, the Middle East, and Asia. Visit </w:t>
      </w:r>
      <w:r>
        <w:rPr>
          <w:rFonts w:ascii="Times New Roman;serif" w:hAnsi="Times New Roman;serif"/>
          <w:b/>
          <w:color w:val="467886"/>
          <w:sz w:val="24"/>
          <w:u w:val="single"/>
        </w:rPr>
        <w:t>www.blaize.com</w:t>
      </w:r>
      <w:r>
        <w:rPr>
          <w:color w:val="373737"/>
        </w:rPr>
        <w:t> </w:t>
      </w:r>
      <w:r>
        <w:rPr>
          <w:rFonts w:ascii="Times New Roman;serif" w:hAnsi="Times New Roman;serif"/>
          <w:b w:val="false"/>
          <w:color w:val="000000"/>
          <w:sz w:val="24"/>
        </w:rPr>
        <w:t>or follow us on LinkedIn @blaizeinc</w:t>
      </w:r>
      <w:r>
        <w:rPr>
          <w:rFonts w:ascii="Times New Roman;serif" w:hAnsi="Times New Roman;serif"/>
          <w:b w:val="false"/>
          <w:color w:val="373737"/>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Cautionary Statement Regarding Forward-Looking Statements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within the meaning of the federal securities laws. All statements other than statements of historical fact contained in this press release are forward-looking statements, including statements regarding the Company’s preliminary estimated revenue for the three months ended September 30, 2026, and the Company’s guidance and expectations for the fourth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Forward-looking statements are based on management’s current expectations and are subject to risks, uncertainties and changes in circumstances, many of which are outside the Company’s control. Actual results may differ materially from those expressed or implied by these forward-looking statements. Important factors that could cause actual results to differ materially are discussed in the Company’s filings with the Securities and Exchange Commission, including the risk factors described in the Company’s Annual Report on Form 10-K for the year ended December 31, 2025, filed with the SEC on March 24, 2026, as amended on April 30, 2026. Forward-looking statements speak only as of the date of this press release, and the Company assumes no obligation to update them except as required by law.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Investors Contact</w:t>
        <w:br/>
      </w:r>
      <w:r>
        <w:rPr>
          <w:rFonts w:ascii="Times New Roman;serif" w:hAnsi="Times New Roman;serif"/>
          <w:b w:val="false"/>
          <w:color w:val="467886"/>
          <w:sz w:val="24"/>
          <w:u w:val="single"/>
        </w:rPr>
        <w:t>IR@blaize.com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Media Contact</w:t>
        <w:br/>
      </w:r>
      <w:r>
        <w:rPr>
          <w:rFonts w:ascii="Times New Roman;serif" w:hAnsi="Times New Roman;serif"/>
          <w:b w:val="false"/>
          <w:color w:val="467886"/>
          <w:sz w:val="24"/>
          <w:u w:val="single"/>
        </w:rPr>
        <w:t>press@blaize.com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2437</Words>
  <Characters>13622</Characters>
  <CharactersWithSpaces>15992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