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6"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center"/>
        <w:rPr/>
      </w:pPr>
      <w:r>
        <w:rPr>
          <w:rFonts w:ascii="Times New Roman;serif" w:hAnsi="Times New Roman;serif"/>
          <w:b/>
          <w:color w:val="000000"/>
          <w:sz w:val="36"/>
        </w:rPr>
        <w:t>UNITED STATES</w:t>
        <w:br/>
        <w:t>SECURITIES AND EXCHANGE COMMISSION</w:t>
        <w:br/>
      </w: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September 24,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00" w:after="283"/>
              <w:jc w:val="left"/>
              <w:rPr/>
            </w:pPr>
            <w:r>
              <w:rPr/>
            </w:r>
          </w:p>
        </w:tc>
      </w:tr>
    </w:tbl>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Blaize Holdings, Inc.</w:t>
      </w:r>
    </w:p>
    <w:p>
      <w:pPr>
        <w:pStyle w:val="TextBody"/>
        <w:bidi w:val="0"/>
        <w:spacing w:lineRule="auto" w:line="288"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0" w:after="283"/>
              <w:jc w:val="left"/>
              <w:rPr/>
            </w:pPr>
            <w:r>
              <w:rPr/>
            </w:r>
          </w:p>
        </w:tc>
      </w:tr>
    </w:tbl>
    <w:p>
      <w:pPr>
        <w:pStyle w:val="TextBody"/>
        <w:bidi w:val="0"/>
        <w:spacing w:before="0" w:after="0"/>
        <w:jc w:val="left"/>
        <w:rPr/>
      </w:pPr>
      <w:r>
        <w:rPr/>
      </w:r>
    </w:p>
    <w:tbl>
      <w:tblPr>
        <w:tblW w:w="5858" w:type="dxa"/>
        <w:jc w:val="left"/>
        <w:tblInd w:w="0" w:type="dxa"/>
        <w:tblLayout w:type="fixed"/>
        <w:tblCellMar>
          <w:top w:w="28" w:type="dxa"/>
          <w:left w:w="28" w:type="dxa"/>
          <w:bottom w:w="28" w:type="dxa"/>
          <w:right w:w="28" w:type="dxa"/>
        </w:tblCellMar>
      </w:tblPr>
      <w:tblGrid>
        <w:gridCol w:w="334"/>
        <w:gridCol w:w="291"/>
        <w:gridCol w:w="291"/>
        <w:gridCol w:w="291"/>
        <w:gridCol w:w="291"/>
        <w:gridCol w:w="291"/>
        <w:gridCol w:w="291"/>
        <w:gridCol w:w="291"/>
        <w:gridCol w:w="307"/>
        <w:gridCol w:w="614"/>
        <w:gridCol w:w="614"/>
        <w:gridCol w:w="617"/>
        <w:gridCol w:w="390"/>
        <w:gridCol w:w="390"/>
        <w:gridCol w:w="555"/>
      </w:tblGrid>
      <w:tr>
        <w:trPr/>
        <w:tc>
          <w:tcPr>
            <w:tcW w:w="3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001-41139</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2890 Zanker Road, Suite 107</w:t>
            </w:r>
          </w:p>
        </w:tc>
        <w:tc>
          <w:tcPr>
            <w:tcW w:w="3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Jose,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95134</w:t>
            </w:r>
          </w:p>
        </w:tc>
      </w:tr>
      <w:tr>
        <w:trPr/>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before="0" w:after="0"/>
        <w:jc w:val="left"/>
        <w:rPr/>
      </w:pPr>
      <w:r>
        <w:rPr/>
      </w:r>
    </w:p>
    <w:tbl>
      <w:tblPr>
        <w:tblW w:w="6075" w:type="dxa"/>
        <w:jc w:val="left"/>
        <w:tblInd w:w="0" w:type="dxa"/>
        <w:tblLayout w:type="fixed"/>
        <w:tblCellMar>
          <w:top w:w="28" w:type="dxa"/>
          <w:left w:w="28" w:type="dxa"/>
          <w:bottom w:w="28" w:type="dxa"/>
          <w:right w:w="28" w:type="dxa"/>
        </w:tblCellMar>
      </w:tblPr>
      <w:tblGrid>
        <w:gridCol w:w="1946"/>
        <w:gridCol w:w="1711"/>
        <w:gridCol w:w="2418"/>
      </w:tblGrid>
      <w:tr>
        <w:trPr/>
        <w:tc>
          <w:tcPr>
            <w:tcW w:w="19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(916) 347-0050</w:t>
            </w:r>
          </w:p>
        </w:tc>
      </w:tr>
    </w:tbl>
    <w:p>
      <w:pPr>
        <w:pStyle w:val="TextBody"/>
        <w:bidi w:val="0"/>
        <w:spacing w:before="0" w:after="0"/>
        <w:jc w:val="left"/>
        <w:rPr/>
      </w:pPr>
      <w:r>
        <w:rPr/>
      </w:r>
    </w:p>
    <w:tbl>
      <w:tblPr>
        <w:tblW w:w="1319" w:type="dxa"/>
        <w:jc w:val="left"/>
        <w:tblInd w:w="0" w:type="dxa"/>
        <w:tblLayout w:type="fixed"/>
        <w:tblCellMar>
          <w:top w:w="28" w:type="dxa"/>
          <w:left w:w="28" w:type="dxa"/>
          <w:bottom w:w="28" w:type="dxa"/>
          <w:right w:w="28" w:type="dxa"/>
        </w:tblCellMar>
      </w:tblPr>
      <w:tblGrid>
        <w:gridCol w:w="422"/>
        <w:gridCol w:w="371"/>
        <w:gridCol w:w="526"/>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bl>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187" w:after="283"/>
              <w:jc w:val="left"/>
              <w:rPr/>
            </w:pPr>
            <w:r>
              <w:rPr/>
            </w:r>
          </w:p>
        </w:tc>
      </w:tr>
    </w:tbl>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80" w:after="283"/>
        <w:ind w:left="0" w:right="0" w:hanging="49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49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80" w:after="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277"/>
        <w:gridCol w:w="1824"/>
        <w:gridCol w:w="1845"/>
        <w:gridCol w:w="109"/>
        <w:gridCol w:w="109"/>
        <w:gridCol w:w="109"/>
        <w:gridCol w:w="296"/>
        <w:gridCol w:w="296"/>
        <w:gridCol w:w="298"/>
        <w:gridCol w:w="109"/>
        <w:gridCol w:w="109"/>
        <w:gridCol w:w="109"/>
        <w:gridCol w:w="792"/>
        <w:gridCol w:w="792"/>
        <w:gridCol w:w="1131"/>
      </w:tblGrid>
      <w:tr>
        <w:trPr/>
        <w:tc>
          <w:tcPr>
            <w:tcW w:w="2277"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20"/>
              </w:rPr>
              <w:br/>
            </w:r>
            <w:r>
              <w:rPr>
                <w:rFonts w:ascii="Times New Roman;serif" w:hAnsi="Times New Roman;serif"/>
                <w:b/>
                <w:color w:val="000000"/>
                <w:sz w:val="20"/>
              </w:rPr>
              <w:t>Name of each exchange on which registered</w:t>
            </w:r>
          </w:p>
        </w:tc>
      </w:tr>
      <w:tr>
        <w:trPr/>
        <w:tc>
          <w:tcPr>
            <w:tcW w:w="594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r>
        <w:trPr/>
        <w:tc>
          <w:tcPr>
            <w:tcW w:w="5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color w:val="000000"/>
                <w:sz w:val="2"/>
              </w:rPr>
            </w:pPr>
            <w:r>
              <w:rPr>
                <w:rFonts w:ascii="Times New Roman;serif" w:hAnsi="Times New Roman;serif"/>
                <w:b w:val="false"/>
                <w:color w:val="000000"/>
                <w:sz w:val="2"/>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2.05    Costs Associated with Exit or Disposal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24, 2026, Blaize Holdings, Inc. (the “Company”) implemented a restructuring plan approved by the Board of Directors (the “Board”) to reduce costs and improve operational efficiency, including a reduction in force affecting approximately 26% of the Company’s employees (the “Restructuring Plan”). The Company expects the Restructuring Plan to be substantially completed by December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costs and cash expenditures for the Restructuring Plan are estimated to be in the range of $1.1 million to $1.3 million, substantially all of which are related to employee severance and benefits costs. The Company expects to incur most of these pre-tax reduction in force expenses in the third quarter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save approximately $7.5 million to $8.4 million per year from the reduction in force and other efficiency measures, which the Company expects to reinvest into growth initiatives focused on more profitable areas of the Company’s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issued by the Company on September 30, 2026, announcing the Restructuring Plan is attached to this Current Report on Form 8-K (this “Current Report”) as Exhibit 99.1 and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contains forward-looking statements within the meaning of Section 27A of the Securities Act of 1933, as amended, and Section 21E of the Securities Exchange Act of 1934, as amended, about the Company that involve substantial risks and uncertainties. All statements other than statements of historical facts contained in this Current Report are forward-looking statements. In some cases, you can identify forward-looking statements because they contain words such as “anticipate,” “believe,” “intend,” “may,” “plan,” “should,” “will,” or the negative of these words or other similar terms or expressions. Forward-looking statements in this Current Report include, but are not limited to, statements regarding: the timing and scope of the Restructuring Plan; the amount and timing of the charges associated with the Restructuring Plan; the expected amount of savings resulting from the Restructuring Plan and the Company’s expected use thereof. The forward-looking statements contained in this Current Report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(“SEC”), including the risk factors described under the heading “Risk Factors” in the Company’s annual report on Form 10-K for the year ended December 31, 2025 filed with the SEC on March 24, 2026, and amended by Amendment No. 1 on Form 10-K/A filed with the SEC on April 30, 2026 and the risk factors described under the heading “Risk Factors” in the Company’s quarterly reports on Form 10-Q for the quarters ended March 31, 2026 and June 30, 2026 filed with the SEC on May 14, 2026 and August 13, 2026, respectively. The forward-looking statements in this Current Report are based upon information available to the Company as of the date of this Current Report, and while the Company believes such information 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p>
      <w:pPr>
        <w:pStyle w:val="TextBody"/>
        <w:bidi w:val="0"/>
        <w:spacing w:before="4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8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51"/>
        <w:gridCol w:w="1951"/>
        <w:gridCol w:w="277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9302026prrerif.htm">
              <w:r>
                <w:rPr>
                  <w:rStyle w:val="InternetLink"/>
                  <w:rFonts w:ascii="Times New Roman;serif" w:hAnsi="Times New Roman;serif"/>
                  <w:b w:val="false"/>
                  <w:color w:val="000000"/>
                  <w:sz w:val="20"/>
                  <w:u w:val="single"/>
                </w:rPr>
                <w:t>Press release, dated September 30,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tbl>
      <w:tblPr>
        <w:tblW w:w="4779"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109"/>
        <w:gridCol w:w="109"/>
        <w:gridCol w:w="109"/>
        <w:gridCol w:w="557"/>
        <w:gridCol w:w="557"/>
        <w:gridCol w:w="791"/>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Kim Evans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Kim Evans</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914400"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4400" cy="4572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Blaize Announces Restructuring Plan to Focus Resources on Core Growth Areas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SAN JOSE, Calif. – September 30, 2026 - Blaize Holdings, Inc. (Nasdaq: BZAI; BZAIW) (“Blaize” or the “Company”)</w:t>
      </w:r>
      <w:r>
        <w:rPr>
          <w:rFonts w:ascii="Times New Roman;serif" w:hAnsi="Times New Roman;serif"/>
          <w:b w:val="false"/>
          <w:color w:val="000000"/>
          <w:sz w:val="20"/>
        </w:rPr>
        <w:t>, a leader in programmable, energy-efficient AI computing, today announced a restructuring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restructuring plan consists primarily of a reduction in force affecting approximately 26% of the Company’s workforce, along with other operational efficiency measures. The Company expects the restructuring plan to generate annualized savings of approximately $7.5 million to $8.4 million, with resources being redirected toward higher-growth and more profitable areas of the business.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On the second quarter earnings call, we said we would reduce operating expenses,” said Dinakar Munagala, Chief Executive Officer of Blaize. “This plan is a significant step in that direction, and it preserves the capabilities we need to execute. What we are building on is clear: our hybrid AI platform and AI Services that run on it, our autonomous systems business, and the national-scale sovereign AI programs we are pursuing. This is where our focus is now, and it is where Blaize creates the most value. The decision was difficult, and I want to acknowledge the talented colleagues who are affected by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substantially complete the restructuring plan by December 31, 2026. Total costs and cash expenditures related to the restructuring are expected to be approximately $1.1 million to $1.3 million, substantially all of which relate to employee severance and benefits. The Company expects to incur the majority of these pre-tax charges during the third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About Blaize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Blaize delivers a programmable AI platform, purpose-built for AI inference workloads in real-world environments. Its Hybrid AI architecture combines the Blaize GSP (Graph Streaming Processor) with GPU-based infrastructure, enabling AI inference workloads to run across edge, cloud, and data center. Blaize solutions support computer vision, multimodal AI, and sensor-driven applications across smart cities, industrial automation, telecommunications, retail, logistics, and mission-critical operations. Blaize is headquartered in El Dorado Hills, California, with a presence across North America, Europe, the Middle East, and Asia. Visit www.blaize.com or follow us on LinkedIn @blaizeinc.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federal securities laws. All statements other than statements of historical fact contained in this press release are forward-looking statements, including statements regarding the timing and scope of the restructuring plan, the amount and timing of the charges associated with the restructuring plan, the expected amount of savings resulting from the restructuring plan, and the Company’s expected use thereof; and the Company’s growth initiatives and business opportunities.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based on management’s current expectations and are subject to risks, uncertainties and changes in circumstances, many of which are outside the Company’s control. Actual results may differ materially from those expressed or implied by these forward-looking statements. Important factors that could cause actual results to differ materially are discussed in the Company’s filings with the Securities and Exchange Commission, including the risk factors described in the Company’s Annual Report on Form 10-K for the year ended December 31, 2025, filed with the SEC on March 24, 2026, as amended on April 30, 2026, and the Company’s Quarterly Report on Form 10-Q for the quarter ended June 30, 2026, filed with the SEC on August 13, 2026. Forward-looking statements speak only as of the date of this press release, and the Company assumes no obligation to update them except as required by law.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Investors Contact</w:t>
      </w:r>
      <w:r>
        <w:rPr>
          <w:rFonts w:ascii="Times New Roman;serif" w:hAnsi="Times New Roman;serif"/>
          <w:b w:val="false"/>
          <w:color w:val="000000"/>
          <w:sz w:val="20"/>
        </w:rPr>
        <w:br/>
        <w:t>IR@blaize.com</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0"/>
        </w:rPr>
        <w:t>Media Contact</w:t>
      </w:r>
      <w:r>
        <w:rPr>
          <w:rFonts w:ascii="Times New Roman;serif" w:hAnsi="Times New Roman;serif"/>
          <w:b w:val="false"/>
          <w:color w:val="000000"/>
          <w:sz w:val="20"/>
        </w:rPr>
        <w:br/>
        <w:t>press@blaize.com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1621</Words>
  <Characters>9167</Characters>
  <CharactersWithSpaces>10728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