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333-288742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7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August 7,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20,326,158 Shares of Common Stock by the Selling Stockholder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769,231 Shares of Common Stock by Cantor</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August 7,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supplement the section of the Prospectus titled “Recent Developments” as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Reduction in Force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24, 2026, Blaize Holdings, Inc. (the “Company”) implemented a restructuring plan approved by the Board of Directors (the “Board”) to reduce costs and improve operational efficiency, including a reduction in force affecting approximately 26% of the Company’s employees (the “Restructuring Plan”). The Company expects the Restructuring Plan to be substantially completed by December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cash expenditures for the Restructuring Plan are estimated to be in the range of $1.1 million to $1.3 million, substantially all of which are related to employee severance and benefits costs. The Company expects to incur most of these pre-tax reduction in force expenses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save approximately $7.5 million to $8.4 million per year from the reduction in force and other efficiency measures, which the Company expects to reinvest into growth initiatives focused on more profitable areas of the Company’s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Nasdaq Bid-Price Deficiency Notice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28, 2026, Blaize Holdings, Inc. (the “Company”) received a letter (the “Notice”) from the Listing Qualifications Department of The Nasdaq Stock Market LLC (“Nasdaq”) notifying the Company that because the closing bid price for the Company’s common stock, par value $0.0001 per share (the “Common Stock”), was below $1.00 per share for the last 30 consecutive business days, the Company was not currently in compliance with the minimum closing bid price required for continued listing on the Nasdaq Global Market pursuant to Nasdaq Listing Rule 5450(a)(1) (the “Minimum Bid Price Requirement”). The Company’s Common Stock will continue to trade on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Global Market under the symbol “BZAI” at this time, subject to the Company’s compliance with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a period of 180 calendar days from September 25, 2026, or until March 29, 2027, to regain compliance with the Minimum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assess potential actions to regain compliance. While the Company plans to review all available options, the Company may not regain compliance with the Minimum Bid Price Requirement during the 180-day compliance period, secure a second 180-day period to regain compliance, or maintain compliance with the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Extension of Terms on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second quarter of 2026, the Company’s accounts receivable balance due from NeoTensr was $13.3 million, which was due on September 24, 2026. On September 30, 2026, NeoTensr paid $0.2 million toward this balance, and the Company has agreed to extend the terms of this receivable, which is now expected to be paid during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Outlook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5, 2026, on a preliminary basis, Blaize Holdings, Inc. (the “Company”) expects to report revenue of approximately $0.5 million for the three months ended September 30, 2026. This revenue was earned during August 2026 and is related to the sale of the Company’s manufactured hardware products to one customer located in Poland.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revenue estimates for the third quarter of 2026 is based on currently available information and does not present all necessary information for an understanding of the Company’s expected results of operations for the period. The preliminary estimate has been prepared by and is the responsibility of management. The Company has not completed its closing procedures for the third quarter of 2026, and it is possible that items may be identified that require adjustments to the preliminary estimated result set forth above for the third quarter of 2026, and those changes could be material. Accordingly, undue reliance should not be placed on this preliminary estimate. Further, the Company’s preliminary estimated revenue for the third quarter of 2026 is not necessarily indicative of the results to be expected for the remainder of the year or any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United States (“U.S.”) Government Inquiry and Investigation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July and August 2026, the Company and certain of its employees and members of the Board received subpoenas and inquiries from the U.S. Department of Justice (the “DOJ”) requesting information relating to the Company’s business and agreements with certain counterparties. The Company has also received voluntary requests for information from the U.S. Securities and Exchange Commission (“SEC”) for information substantially similar to that sought by the DOJ. The Company is cooperating with the DOJ and SEC in responding to their requests for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The Company cannot predict the outcome of the investigations or whether they will have any impact on the Company’s business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 Action Complaint Filed September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17, 2026, a class action complaint was filed against the Company, certain current and former officers and directors of the Company, and the underwriters of the Company's May 2026 public offering in the United States District Court for the Central District of California, captioned Alyahya v. Blaize Holdings, Inc., et al., Case No. 2:26-cv-10609. The complaint alleges, among other things, that the defendants made false and misleading statements or omissions regarding the Company's contracts with Starshine and NeoTensr. The complaint asserts causes of action under Sections 10(b) and 20(a) of the Exchange Act on behalf of a putative class of investors who purchased the Company's common stock between July 17, 2025 and August 13, 2026, inclusive, and causes of action under Sections 11, 12(a)(2), and 15 of the Securities Act on behalf of a putative class of investors who purchased the Company's common stock pursuant or traceable to the Company's May 2026 public offering. The complaint seeks an order certifying the class; awarding compensatory damages, rescission or rescissory damages, interest, costs, attorneys’ and expert fees; and granting other unspecified relief. The case is at a preliminary stage. The Company is in the process of evaluating the effects of the foregoing events and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Prospectus Supplement are forward-looking statements. In some cases, you can identify forward-looking statements because they contain words such as “anticipate,” “believe,” “intend,” “may,” “plan,” “should,” “will,” or the negative of these words or other similar terms or expressions. Forward-looking statements in this Prospectus Supplement include, but are not limited to, the timing and scope of the Restructuring Plan; the amount and timing of the charges associated with the Restructuring Plan; the expected amount of savings resulting from the Restructuring Plan and the Company’s expected use thereof; statements regarding the Company’s intent or ability to regain compliance with Nasdaq’s Minimum Bid Price Requirement, Nasdaq granting the Company any relief from delisting as necessary, and whether the Company can ultimately meet applicable Nasdaq requirements for any such relief; the Company’s preliminary estimated revenue for the three months ended September 30, 2026; the outcome of any ongoing negotiation of customer contracts; the Company’s ability to fulfill orders; the scope, duration, and outcome of the DOJ and SEC inquiries and their potential impact on the Company’s business and financial condition, and the outcome of any putative class action shareholder lawsuits. The forward-looking statements contained in this Prospectus Supplement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and the risk factors described under the heading “Risk Factors” in the Company’s quarterly reports on Form 10-Q for the quarters ended March 31, 2026 and June 30, 2026 filed with the SEC on July 2, 2026 (as amended) and August 13, 2026, respectively. The forward-looking statements in this Prospectus Supplement are based upon information available to the Company as of the date of this Prospectus Supplement,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October 5, 2026, the closing prices for our Common Stock and Warrants on the Nasdaq Stock Market LLC were $0.44 per share of Common Stock and $0.05 per Warrant.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Investing in our securities involves a high degree of risk. See “Risk Factors” beginning on page 12</w:t>
      </w:r>
      <w:r>
        <w:rPr>
          <w:color w:val="EE2724"/>
        </w:rPr>
        <w:t xml:space="preserve"> </w:t>
      </w:r>
      <w:r>
        <w:rPr>
          <w:rFonts w:ascii="Times New Roman;serif" w:hAnsi="Times New Roman;serif"/>
          <w:b/>
          <w:color w:val="000000"/>
          <w:sz w:val="20"/>
        </w:rPr>
        <w:t>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supplement is October 5,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2044</Words>
  <Characters>11274</Characters>
  <CharactersWithSpaces>13289</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